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934F4" w14:textId="64B6CF50" w:rsidR="00EF0EA0" w:rsidRDefault="00EF0EA0" w:rsidP="00EF0EA0">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Course Nam</w:t>
      </w:r>
    </w:p>
    <w:p w14:paraId="543C13A4" w14:textId="59A3986B" w:rsidR="00EF0EA0" w:rsidRDefault="00EF0EA0" w:rsidP="00EF0EA0">
      <w:pPr>
        <w:jc w:val="right"/>
        <w:rPr>
          <w:rFonts w:ascii="Times New Roman" w:hAnsi="Times New Roman" w:cs="Times New Roman"/>
          <w:sz w:val="24"/>
          <w:szCs w:val="24"/>
        </w:rPr>
      </w:pPr>
      <w:r>
        <w:rPr>
          <w:rFonts w:ascii="Times New Roman" w:hAnsi="Times New Roman" w:cs="Times New Roman"/>
          <w:sz w:val="24"/>
          <w:szCs w:val="24"/>
        </w:rPr>
        <w:t>Group #</w:t>
      </w:r>
    </w:p>
    <w:p w14:paraId="741B2845" w14:textId="537C8745" w:rsidR="00EF0EA0" w:rsidRDefault="00EF0EA0" w:rsidP="00EF0EA0">
      <w:pPr>
        <w:jc w:val="right"/>
        <w:rPr>
          <w:rFonts w:ascii="Times New Roman" w:hAnsi="Times New Roman" w:cs="Times New Roman"/>
          <w:sz w:val="24"/>
          <w:szCs w:val="24"/>
        </w:rPr>
      </w:pPr>
      <w:r>
        <w:rPr>
          <w:rFonts w:ascii="Times New Roman" w:hAnsi="Times New Roman" w:cs="Times New Roman"/>
          <w:sz w:val="24"/>
          <w:szCs w:val="24"/>
        </w:rPr>
        <w:t>Your Name</w:t>
      </w:r>
    </w:p>
    <w:p w14:paraId="6B5E4D36" w14:textId="5EB8B4D5" w:rsidR="00EF0EA0" w:rsidRPr="00EF0EA0" w:rsidRDefault="00EF0EA0" w:rsidP="00EF0EA0">
      <w:pPr>
        <w:jc w:val="center"/>
        <w:rPr>
          <w:rFonts w:ascii="Times New Roman" w:hAnsi="Times New Roman" w:cs="Times New Roman"/>
          <w:b/>
          <w:bCs/>
          <w:sz w:val="24"/>
          <w:szCs w:val="24"/>
        </w:rPr>
      </w:pPr>
      <w:r w:rsidRPr="00EF0EA0">
        <w:rPr>
          <w:rFonts w:ascii="Times New Roman" w:hAnsi="Times New Roman" w:cs="Times New Roman"/>
          <w:b/>
          <w:bCs/>
          <w:sz w:val="24"/>
          <w:szCs w:val="24"/>
        </w:rPr>
        <w:t>Case 15-6 Targeted for Termination</w:t>
      </w:r>
    </w:p>
    <w:p w14:paraId="164E4DB1" w14:textId="0D8876FB"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 xml:space="preserve">Restructuring costs are the costs at which a company restructures its businesses to improve the efficiency of its operations and increase profits. These charges are infrequent, and for this reason, they are classified under non-performing charges, which occur on a frequent and daily basis. They are short-term costs that are expected to help the company make a profit in the long run. Existing manufacturing plants, layoffs, transfer of company assets from one place to another, writing or selling of assets, transfer of a business to the new market, and purchase of new machinery and equipment at specific restructuring fees make the company profitable by expanding its functions. </w:t>
      </w:r>
    </w:p>
    <w:p w14:paraId="550745A8" w14:textId="2D3BF7A9"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When calculating restoration costs, one needs to understand the extent of the restoration. This is because not all projects are eligible for cost approval under the US IFRS. Restructuring is quickly recognized when a reliable assessment of current obligations and expenses resulting from a past event. The main challenge here is determining whether there is a constructive duty to determine where restoration arrangements will be made. According to IAS 37, the constructive duty arises when the business concerned has a comprehensive systematic plan that specifies the affected areas. Location activities and the number of employees whose services will be discontinued, the costs incurred, and, finally, the time it takes for the project to be implemented. The company should create the right expectation of the affected people, while at the same time they should announce their key features.</w:t>
      </w:r>
    </w:p>
    <w:p w14:paraId="7098D49A" w14:textId="57F28FA5"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Measuring a restructuring Provision</w:t>
      </w:r>
    </w:p>
    <w:p w14:paraId="0F7DA102" w14:textId="434C156A"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IFRS provides that only the increased costs associated with the restructuring will be included in the rules when it comes to the rules. On the other hand, IFRS prevents authorization for expenses incurred through current operations, such as staff relocation costs and training costs for your employees. This means companies need to analyze their costs very carefully before they can be calculated. When costs for supply are identified, arrangements are made using the best estimates of expected costs.</w:t>
      </w:r>
    </w:p>
    <w:p w14:paraId="58DE67D6" w14:textId="75031B04"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The following explains how Pharma calculates employee benefits, IT service termination costs, and reuse and relocation costs.</w:t>
      </w:r>
    </w:p>
    <w:p w14:paraId="1330534E" w14:textId="5AF210DF"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Employee Benefits</w:t>
      </w:r>
    </w:p>
    <w:p w14:paraId="125645F0" w14:textId="566C7C43"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 xml:space="preserve">ASC Requirements Employee Dismissal Benefits must meet several requirements. One of them is that management needs an authority to approve the dismissal action of employees, and this management must commit to the dismissal plan. This ensures that the process is carried out systematically and professionally, following legal and accounting standards. Second, the plan should identify the number of laid-off employees, their job descriptions or classifications, employee activities, locations, and dates expected to complete the plan. This should be so much to </w:t>
      </w:r>
      <w:r w:rsidRPr="00EF0EA0">
        <w:rPr>
          <w:rFonts w:ascii="Times New Roman" w:hAnsi="Times New Roman" w:cs="Times New Roman"/>
          <w:sz w:val="24"/>
          <w:szCs w:val="24"/>
        </w:rPr>
        <w:lastRenderedPageBreak/>
        <w:t xml:space="preserve">avoid staff problems and make the process </w:t>
      </w:r>
      <w:r w:rsidRPr="00EF0EA0">
        <w:rPr>
          <w:rFonts w:ascii="Times New Roman" w:hAnsi="Times New Roman" w:cs="Times New Roman"/>
          <w:sz w:val="24"/>
          <w:szCs w:val="24"/>
        </w:rPr>
        <w:t>smoother and more efficient</w:t>
      </w:r>
      <w:r w:rsidRPr="00EF0EA0">
        <w:rPr>
          <w:rFonts w:ascii="Times New Roman" w:hAnsi="Times New Roman" w:cs="Times New Roman"/>
          <w:sz w:val="24"/>
          <w:szCs w:val="24"/>
        </w:rPr>
        <w:t>. Third, the plan must establish the terms of the benefit arrangement and the benefits received after the employee is laid off, including cash. It should also indicate the amount they will receive if employees are fired involuntarily. Finally, measures should indicate that no changes will be made to the plan and that it will not be withdrawn. Pharma has already approved a plan to lay off 120 employees at its current location, which is expected to be completed by December 31, 20X1. Employees receive information about layoffs from the CEO of Pharma. This is voluntary dismissal, so Pharma must recognize the benefits of employee dismissal under the GAAP requirement.</w:t>
      </w:r>
    </w:p>
    <w:p w14:paraId="137E3419" w14:textId="38080256"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 xml:space="preserve"> In this case, employees are not required to work until they are laid off. Receive their redundancy benefits, and then the benefits will be measured at a reasonable value on the day it is contacted. </w:t>
      </w:r>
      <w:r w:rsidRPr="00EF0EA0">
        <w:rPr>
          <w:rFonts w:ascii="Times New Roman" w:hAnsi="Times New Roman" w:cs="Times New Roman"/>
          <w:sz w:val="24"/>
          <w:szCs w:val="24"/>
        </w:rPr>
        <w:t>So,</w:t>
      </w:r>
      <w:r w:rsidRPr="00EF0EA0">
        <w:rPr>
          <w:rFonts w:ascii="Times New Roman" w:hAnsi="Times New Roman" w:cs="Times New Roman"/>
          <w:sz w:val="24"/>
          <w:szCs w:val="24"/>
        </w:rPr>
        <w:t xml:space="preserve"> in our case, about $ 2.5 million could be registered on 27 December 20X1 for employee layoff benefits.</w:t>
      </w:r>
    </w:p>
    <w:p w14:paraId="4F380368" w14:textId="3ED60BA0" w:rsidR="00610AA8" w:rsidRPr="00EF0EA0" w:rsidRDefault="00610AA8" w:rsidP="00EF0EA0">
      <w:pPr>
        <w:jc w:val="both"/>
        <w:rPr>
          <w:rFonts w:ascii="Times New Roman" w:hAnsi="Times New Roman" w:cs="Times New Roman"/>
          <w:sz w:val="24"/>
          <w:szCs w:val="24"/>
        </w:rPr>
      </w:pPr>
      <w:r w:rsidRPr="00EF0EA0">
        <w:rPr>
          <w:rFonts w:ascii="Times New Roman" w:hAnsi="Times New Roman" w:cs="Times New Roman"/>
          <w:sz w:val="24"/>
          <w:szCs w:val="24"/>
        </w:rPr>
        <w:t>IT Service Termination</w:t>
      </w:r>
      <w:r w:rsidRPr="00EF0EA0">
        <w:rPr>
          <w:rFonts w:ascii="Times New Roman" w:hAnsi="Times New Roman" w:cs="Times New Roman"/>
          <w:sz w:val="24"/>
          <w:szCs w:val="24"/>
        </w:rPr>
        <w:t xml:space="preserve"> Costs</w:t>
      </w:r>
    </w:p>
    <w:p w14:paraId="3488D9A2" w14:textId="0855B502" w:rsidR="00EF0EA0" w:rsidRPr="00EF0EA0" w:rsidRDefault="00EF0EA0" w:rsidP="00EF0EA0">
      <w:pPr>
        <w:jc w:val="both"/>
        <w:rPr>
          <w:rFonts w:ascii="Times New Roman" w:hAnsi="Times New Roman" w:cs="Times New Roman"/>
          <w:sz w:val="24"/>
          <w:szCs w:val="24"/>
        </w:rPr>
      </w:pPr>
      <w:r w:rsidRPr="00EF0EA0">
        <w:rPr>
          <w:rFonts w:ascii="Times New Roman" w:hAnsi="Times New Roman" w:cs="Times New Roman"/>
          <w:sz w:val="24"/>
          <w:szCs w:val="24"/>
        </w:rPr>
        <w:t>Cost of Termination of Contract also includes liability for expenses incurred before the expiration of the contract. These costs will be recognized once the company has finally concluded the contract following the contract terms. For example, when a company issues a written notice within the required period, they conclude a contract with a partner already notified. In February 2006, Pharma issued a press release suspending a primary IT service, which did not require Pharma to register a $ 1.3 termination fee as an agreement could not be reached. It was, however, recorded on December 29, 20X1, when the company officially signed the contract. This means that even if a notice is given in advance and the contract is not signed, the closing costs will not be recorded in the books by the company.</w:t>
      </w:r>
    </w:p>
    <w:p w14:paraId="5B0DB8CF" w14:textId="18DB8AE9" w:rsidR="00EF0EA0" w:rsidRPr="00EF0EA0" w:rsidRDefault="00EF0EA0" w:rsidP="00EF0EA0">
      <w:pPr>
        <w:jc w:val="both"/>
        <w:rPr>
          <w:rFonts w:ascii="Times New Roman" w:hAnsi="Times New Roman" w:cs="Times New Roman"/>
          <w:sz w:val="24"/>
          <w:szCs w:val="24"/>
        </w:rPr>
      </w:pPr>
      <w:r w:rsidRPr="00EF0EA0">
        <w:rPr>
          <w:rFonts w:ascii="Times New Roman" w:hAnsi="Times New Roman" w:cs="Times New Roman"/>
          <w:sz w:val="24"/>
          <w:szCs w:val="24"/>
        </w:rPr>
        <w:t>Retraining and Relocation costs</w:t>
      </w:r>
    </w:p>
    <w:p w14:paraId="5D131D61" w14:textId="77777777" w:rsidR="00EF0EA0" w:rsidRPr="00EF0EA0" w:rsidRDefault="00EF0EA0" w:rsidP="00EF0EA0">
      <w:pPr>
        <w:jc w:val="both"/>
        <w:rPr>
          <w:rFonts w:ascii="Times New Roman" w:hAnsi="Times New Roman" w:cs="Times New Roman"/>
          <w:sz w:val="24"/>
          <w:szCs w:val="24"/>
        </w:rPr>
      </w:pPr>
      <w:r w:rsidRPr="00EF0EA0">
        <w:rPr>
          <w:rFonts w:ascii="Times New Roman" w:hAnsi="Times New Roman" w:cs="Times New Roman"/>
          <w:sz w:val="24"/>
          <w:szCs w:val="24"/>
        </w:rPr>
        <w:t xml:space="preserve">Pharma has signed non-convertible agreements with certain parties but does not have to identify and record these costs until future payments, as there is no specific time for when projects should start. When it comes to related expenses, liability can never be recognized until </w:t>
      </w:r>
      <w:proofErr w:type="spellStart"/>
      <w:r w:rsidRPr="00EF0EA0">
        <w:rPr>
          <w:rFonts w:ascii="Times New Roman" w:hAnsi="Times New Roman" w:cs="Times New Roman"/>
          <w:sz w:val="24"/>
          <w:szCs w:val="24"/>
        </w:rPr>
        <w:t>t</w:t>
      </w:r>
      <w:proofErr w:type="spellEnd"/>
      <w:r w:rsidRPr="00EF0EA0">
        <w:rPr>
          <w:rFonts w:ascii="Times New Roman" w:hAnsi="Times New Roman" w:cs="Times New Roman"/>
          <w:sz w:val="24"/>
          <w:szCs w:val="24"/>
        </w:rPr>
        <w:t xml:space="preserve"> occurs. This applies even if there are operating costs as a result of a project. Liabilities for other costs associated with the removal activities are also recognized during the liability period when goods and services related to liability are received. When it comes to training, training-related expenses will be recognized if training occurs. This means that the recommendation for training can record nothing because the training may not occur, which will cause many problems in adjusting the long-recorded costs in the books. </w:t>
      </w:r>
    </w:p>
    <w:p w14:paraId="396CBCD3" w14:textId="29A293F6" w:rsidR="00EF0EA0" w:rsidRPr="00EF0EA0" w:rsidRDefault="00EF0EA0" w:rsidP="00EF0EA0">
      <w:pPr>
        <w:jc w:val="both"/>
        <w:rPr>
          <w:rFonts w:ascii="Times New Roman" w:hAnsi="Times New Roman" w:cs="Times New Roman"/>
          <w:sz w:val="24"/>
          <w:szCs w:val="24"/>
        </w:rPr>
      </w:pPr>
      <w:r w:rsidRPr="00EF0EA0">
        <w:rPr>
          <w:rFonts w:ascii="Times New Roman" w:hAnsi="Times New Roman" w:cs="Times New Roman"/>
          <w:sz w:val="24"/>
          <w:szCs w:val="24"/>
        </w:rPr>
        <w:t xml:space="preserve">In our case, the pharma company does not need to authorize the $ 500,000 cost of the transfer </w:t>
      </w:r>
      <w:r w:rsidRPr="00EF0EA0">
        <w:rPr>
          <w:rFonts w:ascii="Times New Roman" w:hAnsi="Times New Roman" w:cs="Times New Roman"/>
          <w:sz w:val="24"/>
          <w:szCs w:val="24"/>
        </w:rPr>
        <w:t>o</w:t>
      </w:r>
      <w:r w:rsidRPr="00EF0EA0">
        <w:rPr>
          <w:rFonts w:ascii="Times New Roman" w:hAnsi="Times New Roman" w:cs="Times New Roman"/>
          <w:sz w:val="24"/>
          <w:szCs w:val="24"/>
        </w:rPr>
        <w:t>bjectives Because this is something that has not happened yet and is planned to happen in the future. This means that the most appropriate way to recognize costs is to do so when the plant is finally relocated in the future. The $ 1.5M recommended for providing training services does not have to be approved by the pharma company. Because the rain has not happened yet, it is inappropriate to record this when it has not happened. These two are identical and conform to the fair policy, which requires them to record expenses along with the revenue they generate.</w:t>
      </w:r>
    </w:p>
    <w:sectPr w:rsidR="00EF0EA0" w:rsidRPr="00EF0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AA8"/>
    <w:rsid w:val="00610AA8"/>
    <w:rsid w:val="00EF0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D526"/>
  <w15:chartTrackingRefBased/>
  <w15:docId w15:val="{121919B9-0FA9-4274-9079-B866DA02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Novelliere, Lizbeth Ann</dc:creator>
  <cp:keywords/>
  <dc:description/>
  <cp:lastModifiedBy>Novelliere, Lizbeth Ann</cp:lastModifiedBy>
  <cp:revision>1</cp:revision>
  <dcterms:created xsi:type="dcterms:W3CDTF">2021-09-26T11:12:00Z</dcterms:created>
  <dcterms:modified xsi:type="dcterms:W3CDTF">2021-09-26T11:32:00Z</dcterms:modified>
</cp:coreProperties>
</file>